
<file path=[Content_Types].xml><?xml version="1.0" encoding="utf-8"?>
<Types xmlns="http://schemas.openxmlformats.org/package/2006/content-types">
  <Default Extension="CF070190" ContentType="image/png"/>
  <Default Extension="D2DAA20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ADD6" w14:textId="77777777" w:rsidR="00000000" w:rsidRDefault="00000000">
      <w:pPr>
        <w:rPr>
          <w:lang w:val="en-CA"/>
        </w:rPr>
      </w:pPr>
      <w:r>
        <w:rPr>
          <w:lang w:val="en-CA"/>
        </w:rPr>
        <w:t>Hi Brad</w:t>
      </w:r>
    </w:p>
    <w:p w14:paraId="630EE672" w14:textId="77777777" w:rsidR="00000000" w:rsidRDefault="00000000">
      <w:pPr>
        <w:rPr>
          <w:lang w:val="en-CA"/>
        </w:rPr>
      </w:pPr>
    </w:p>
    <w:p w14:paraId="4DAB9F6B" w14:textId="77777777" w:rsidR="00000000" w:rsidRDefault="00000000">
      <w:pPr>
        <w:rPr>
          <w:lang w:val="en-CA"/>
        </w:rPr>
      </w:pPr>
      <w:r>
        <w:rPr>
          <w:lang w:val="en-CA"/>
        </w:rPr>
        <w:t>From our June 7’23 governance review meeting, one of the items I was to do is create a recorded session regarding the digital tools available to the members of the IBEW Local 1852 retirement plan.  I have completed and attach that recording.  I’ve also uploaded the recording to our YouTube channel and created a link.</w:t>
      </w:r>
    </w:p>
    <w:p w14:paraId="4C0FBD50" w14:textId="77777777" w:rsidR="00000000" w:rsidRDefault="00000000">
      <w:pPr>
        <w:rPr>
          <w:lang w:val="en-CA"/>
        </w:rPr>
      </w:pPr>
    </w:p>
    <w:p w14:paraId="12DE800E" w14:textId="77777777" w:rsidR="00000000" w:rsidRDefault="00000000">
      <w:pPr>
        <w:rPr>
          <w:lang w:val="en-CA"/>
        </w:rPr>
      </w:pPr>
      <w:hyperlink r:id="rId4" w:history="1">
        <w:r>
          <w:rPr>
            <w:rStyle w:val="Hyperlink"/>
            <w:lang w:val="en-CA"/>
          </w:rPr>
          <w:t>IBEW Local 1852 Digital Tools Session - Aug 2023</w:t>
        </w:r>
      </w:hyperlink>
    </w:p>
    <w:p w14:paraId="7CE35254" w14:textId="77777777" w:rsidR="00000000" w:rsidRDefault="00000000">
      <w:pPr>
        <w:rPr>
          <w:lang w:val="en-CA"/>
        </w:rPr>
      </w:pPr>
    </w:p>
    <w:p w14:paraId="37DA5807" w14:textId="77777777" w:rsidR="00000000" w:rsidRDefault="00000000">
      <w:pPr>
        <w:rPr>
          <w:lang w:val="en-CA"/>
        </w:rPr>
      </w:pPr>
      <w:r>
        <w:rPr>
          <w:lang w:val="en-CA"/>
        </w:rPr>
        <w:t>It’s about 10 min in length and goes through the highlights of (i) how to activate their account if they have not done so already, (ii) goes through the various sections of My Client Space and support tools, (iii) talks about the iA mobile app, and (iv) where to get additional support (both from your plan advisors and our customer service team).</w:t>
      </w:r>
    </w:p>
    <w:p w14:paraId="4E6FD397" w14:textId="77777777" w:rsidR="00000000" w:rsidRDefault="00000000">
      <w:pPr>
        <w:rPr>
          <w:lang w:val="en-CA"/>
        </w:rPr>
      </w:pPr>
    </w:p>
    <w:p w14:paraId="331539E6" w14:textId="77777777" w:rsidR="00000000" w:rsidRDefault="00000000">
      <w:pPr>
        <w:rPr>
          <w:lang w:val="en-CA"/>
        </w:rPr>
      </w:pPr>
      <w:r>
        <w:rPr>
          <w:lang w:val="en-CA"/>
        </w:rPr>
        <w:t>You can share this with the plan Trustees, plan members, post it to your website, and use it at your monthly meetings.</w:t>
      </w:r>
    </w:p>
    <w:p w14:paraId="505AF190" w14:textId="77777777" w:rsidR="00000000" w:rsidRDefault="00000000">
      <w:pPr>
        <w:rPr>
          <w:lang w:val="en-CA"/>
        </w:rPr>
      </w:pPr>
    </w:p>
    <w:p w14:paraId="4BF20651" w14:textId="77777777" w:rsidR="00000000" w:rsidRDefault="00000000">
      <w:pPr>
        <w:rPr>
          <w:lang w:val="en-CA" w:eastAsia="en-CA"/>
        </w:rPr>
      </w:pPr>
      <w:r>
        <w:rPr>
          <w:lang w:val="en-CA" w:eastAsia="en-CA"/>
        </w:rPr>
        <w:t xml:space="preserve">I’d appreciate any feedback you get from the Trustees, yourself, and the plan members.  </w:t>
      </w:r>
    </w:p>
    <w:p w14:paraId="1EE92593" w14:textId="77777777" w:rsidR="00000000" w:rsidRDefault="00000000">
      <w:pPr>
        <w:rPr>
          <w:lang w:val="en-CA" w:eastAsia="en-CA"/>
        </w:rPr>
      </w:pPr>
    </w:p>
    <w:p w14:paraId="71532B33" w14:textId="77777777" w:rsidR="00000000" w:rsidRDefault="00000000">
      <w:pPr>
        <w:rPr>
          <w:lang w:val="en-CA" w:eastAsia="en-CA"/>
        </w:rPr>
      </w:pPr>
      <w:r>
        <w:rPr>
          <w:lang w:val="en-CA" w:eastAsia="en-CA"/>
        </w:rPr>
        <w:t>I hope this helps to get the members more engaged.</w:t>
      </w:r>
    </w:p>
    <w:p w14:paraId="1EAD4994" w14:textId="77777777" w:rsidR="00000000" w:rsidRDefault="00000000">
      <w:pPr>
        <w:rPr>
          <w:lang w:val="en-CA" w:eastAsia="en-CA"/>
        </w:rPr>
      </w:pPr>
    </w:p>
    <w:p w14:paraId="78EC6497" w14:textId="77777777" w:rsidR="00000000" w:rsidRDefault="00000000">
      <w:pPr>
        <w:rPr>
          <w:lang w:val="en-CA" w:eastAsia="en-CA"/>
        </w:rPr>
      </w:pPr>
      <w:r>
        <w:rPr>
          <w:lang w:val="en-CA" w:eastAsia="en-CA"/>
        </w:rPr>
        <w:t>Have a great weekend,</w:t>
      </w:r>
    </w:p>
    <w:p w14:paraId="1FDBED0B" w14:textId="77777777" w:rsidR="00000000" w:rsidRDefault="00000000">
      <w:pPr>
        <w:rPr>
          <w:lang w:val="en-CA" w:eastAsia="en-CA"/>
        </w:rPr>
      </w:pPr>
    </w:p>
    <w:p w14:paraId="53217FF5" w14:textId="77777777" w:rsidR="00000000" w:rsidRDefault="00000000">
      <w:pPr>
        <w:rPr>
          <w:lang w:val="en-CA" w:eastAsia="en-CA"/>
        </w:rPr>
      </w:pPr>
    </w:p>
    <w:tbl>
      <w:tblPr>
        <w:tblW w:w="9795" w:type="dxa"/>
        <w:tblCellMar>
          <w:left w:w="0" w:type="dxa"/>
          <w:right w:w="0" w:type="dxa"/>
        </w:tblCellMar>
        <w:tblLook w:val="04A0" w:firstRow="1" w:lastRow="0" w:firstColumn="1" w:lastColumn="0" w:noHBand="0" w:noVBand="1"/>
      </w:tblPr>
      <w:tblGrid>
        <w:gridCol w:w="2256"/>
        <w:gridCol w:w="240"/>
        <w:gridCol w:w="6926"/>
        <w:gridCol w:w="373"/>
      </w:tblGrid>
      <w:tr w:rsidR="00000000" w14:paraId="59BEB6CD" w14:textId="77777777">
        <w:tc>
          <w:tcPr>
            <w:tcW w:w="2235" w:type="dxa"/>
            <w:tcBorders>
              <w:top w:val="single" w:sz="8" w:space="0" w:color="FFFFFF"/>
              <w:left w:val="single" w:sz="8" w:space="0" w:color="FFFFFF"/>
              <w:bottom w:val="single" w:sz="8" w:space="0" w:color="FFFFFF"/>
              <w:right w:val="single" w:sz="8" w:space="0" w:color="7F7F7F"/>
            </w:tcBorders>
            <w:tcMar>
              <w:top w:w="0" w:type="dxa"/>
              <w:left w:w="108" w:type="dxa"/>
              <w:bottom w:w="0" w:type="dxa"/>
              <w:right w:w="108" w:type="dxa"/>
            </w:tcMar>
          </w:tcPr>
          <w:p w14:paraId="4736C65A" w14:textId="77777777" w:rsidR="00000000" w:rsidRDefault="00000000">
            <w:pPr>
              <w:rPr>
                <w:lang w:eastAsia="en-CA"/>
              </w:rPr>
            </w:pPr>
            <w:r>
              <w:rPr>
                <w:noProof/>
                <w:sz w:val="24"/>
                <w:szCs w:val="24"/>
                <w:lang w:eastAsia="en-CA"/>
              </w:rPr>
              <w:drawing>
                <wp:inline distT="0" distB="0" distL="0" distR="0" wp14:anchorId="1FD76849" wp14:editId="25C86E3F">
                  <wp:extent cx="1295400" cy="990600"/>
                  <wp:effectExtent l="0" t="0" r="0" b="0"/>
                  <wp:docPr id="1" name="Image 57" descr="Macintosh HD:Users:q10153:Desktop:G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descr="Macintosh HD:Users:q10153:Desktop:GF-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p>
          <w:p w14:paraId="1B643733" w14:textId="77777777" w:rsidR="00000000" w:rsidRDefault="00000000">
            <w:pPr>
              <w:rPr>
                <w:sz w:val="24"/>
                <w:szCs w:val="24"/>
                <w:lang w:eastAsia="fr-FR"/>
              </w:rPr>
            </w:pPr>
            <w:r>
              <w:rPr>
                <w:noProof/>
                <w:sz w:val="24"/>
                <w:szCs w:val="24"/>
                <w:lang w:eastAsia="en-CA"/>
              </w:rPr>
              <w:drawing>
                <wp:inline distT="0" distB="0" distL="0" distR="0" wp14:anchorId="153A236F" wp14:editId="726E03CE">
                  <wp:extent cx="152400" cy="152400"/>
                  <wp:effectExtent l="0" t="0" r="0" b="0"/>
                  <wp:docPr id="2" name="Image 43" descr="Macintosh HD:Users:q10153:Desktop:Faceboo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Macintosh HD:Users:q10153:Desktop:Faceboo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eastAsia="fr-FR"/>
              </w:rPr>
              <w:t xml:space="preserve">   </w:t>
            </w:r>
            <w:r>
              <w:rPr>
                <w:noProof/>
                <w:sz w:val="24"/>
                <w:szCs w:val="24"/>
                <w:lang w:eastAsia="en-CA"/>
              </w:rPr>
              <w:drawing>
                <wp:inline distT="0" distB="0" distL="0" distR="0" wp14:anchorId="0194F5AB" wp14:editId="4AA1501A">
                  <wp:extent cx="152400" cy="152400"/>
                  <wp:effectExtent l="0" t="0" r="0" b="0"/>
                  <wp:docPr id="3" name="Image 44" descr="Macintosh HD:Users:q10153:Desktop:Twit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Macintosh HD:Users:q10153:Desktop:Twi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eastAsia="fr-FR"/>
              </w:rPr>
              <w:t>   </w:t>
            </w:r>
            <w:r>
              <w:rPr>
                <w:noProof/>
                <w:sz w:val="24"/>
                <w:szCs w:val="24"/>
                <w:lang w:eastAsia="en-CA"/>
              </w:rPr>
              <w:drawing>
                <wp:inline distT="0" distB="0" distL="0" distR="0" wp14:anchorId="298ACB04" wp14:editId="4C9B2807">
                  <wp:extent cx="152400" cy="152400"/>
                  <wp:effectExtent l="0" t="0" r="0" b="0"/>
                  <wp:docPr id="4" name="Image 45" descr="Macintosh HD:Users:q10153:Desktop:Linke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Macintosh HD:Users:q10153:Desktop:Link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eastAsia="fr-FR"/>
              </w:rPr>
              <w:t>   </w:t>
            </w:r>
            <w:r>
              <w:rPr>
                <w:noProof/>
                <w:sz w:val="24"/>
                <w:szCs w:val="24"/>
                <w:lang w:eastAsia="en-CA"/>
              </w:rPr>
              <w:drawing>
                <wp:inline distT="0" distB="0" distL="0" distR="0" wp14:anchorId="775B6AA2" wp14:editId="0916BDBE">
                  <wp:extent cx="152400" cy="152400"/>
                  <wp:effectExtent l="0" t="0" r="0" b="0"/>
                  <wp:docPr id="5" name="Image 46" descr="Macintosh HD:Users:q10153:Desktop:YouTub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Macintosh HD:Users:q10153:Desktop:YouTub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A66475" w14:textId="77777777" w:rsidR="00000000" w:rsidRDefault="00000000">
            <w:pPr>
              <w:rPr>
                <w:sz w:val="24"/>
                <w:szCs w:val="24"/>
                <w:lang w:eastAsia="fr-FR"/>
              </w:rPr>
            </w:pPr>
          </w:p>
          <w:p w14:paraId="0068E0E8" w14:textId="77777777" w:rsidR="00000000" w:rsidRDefault="00000000">
            <w:pPr>
              <w:autoSpaceDE w:val="0"/>
              <w:autoSpaceDN w:val="0"/>
              <w:spacing w:line="241" w:lineRule="atLeast"/>
              <w:rPr>
                <w:color w:val="042D54"/>
                <w:u w:val="single"/>
                <w:lang w:val="fr-FR" w:eastAsia="fr-FR"/>
              </w:rPr>
            </w:pPr>
            <w:hyperlink r:id="rId13" w:history="1">
              <w:r>
                <w:rPr>
                  <w:rStyle w:val="Hyperlink"/>
                  <w:b/>
                  <w:bCs/>
                  <w:color w:val="042D54"/>
                  <w:sz w:val="24"/>
                  <w:szCs w:val="24"/>
                  <w:lang w:val="fr-FR" w:eastAsia="fr-FR"/>
                </w:rPr>
                <w:t>ia.ca/en</w:t>
              </w:r>
            </w:hyperlink>
          </w:p>
        </w:tc>
        <w:tc>
          <w:tcPr>
            <w:tcW w:w="236" w:type="dxa"/>
            <w:tcBorders>
              <w:top w:val="single" w:sz="8" w:space="0" w:color="FFFFFF"/>
              <w:left w:val="nil"/>
              <w:bottom w:val="single" w:sz="8" w:space="0" w:color="FFFFFF"/>
              <w:right w:val="single" w:sz="8" w:space="0" w:color="FFFFFF"/>
            </w:tcBorders>
            <w:tcMar>
              <w:top w:w="0" w:type="dxa"/>
              <w:left w:w="108" w:type="dxa"/>
              <w:bottom w:w="0" w:type="dxa"/>
              <w:right w:w="108" w:type="dxa"/>
            </w:tcMar>
          </w:tcPr>
          <w:p w14:paraId="5288D642" w14:textId="77777777" w:rsidR="00000000" w:rsidRDefault="00000000">
            <w:pPr>
              <w:autoSpaceDE w:val="0"/>
              <w:autoSpaceDN w:val="0"/>
              <w:spacing w:line="241" w:lineRule="atLeast"/>
              <w:rPr>
                <w:b/>
                <w:bCs/>
                <w:color w:val="0057A5"/>
                <w:lang w:val="fr-FR" w:eastAsia="fr-FR"/>
              </w:rPr>
            </w:pPr>
          </w:p>
          <w:p w14:paraId="669081BC" w14:textId="77777777" w:rsidR="00000000" w:rsidRDefault="00000000">
            <w:pPr>
              <w:autoSpaceDE w:val="0"/>
              <w:autoSpaceDN w:val="0"/>
              <w:spacing w:line="241" w:lineRule="atLeast"/>
              <w:rPr>
                <w:b/>
                <w:bCs/>
                <w:color w:val="4C4C4E"/>
                <w:sz w:val="20"/>
                <w:szCs w:val="20"/>
                <w:lang w:val="fr-FR" w:eastAsia="fr-FR"/>
              </w:rPr>
            </w:pPr>
          </w:p>
          <w:p w14:paraId="50CDF6C4" w14:textId="77777777" w:rsidR="00000000" w:rsidRDefault="00000000">
            <w:pPr>
              <w:autoSpaceDE w:val="0"/>
              <w:autoSpaceDN w:val="0"/>
              <w:spacing w:line="241" w:lineRule="atLeast"/>
              <w:rPr>
                <w:color w:val="4C4C4E"/>
                <w:sz w:val="20"/>
                <w:szCs w:val="20"/>
                <w:lang w:val="fr-FR" w:eastAsia="fr-FR"/>
              </w:rPr>
            </w:pPr>
          </w:p>
          <w:p w14:paraId="0880A582" w14:textId="77777777" w:rsidR="00000000" w:rsidRDefault="00000000">
            <w:pPr>
              <w:autoSpaceDE w:val="0"/>
              <w:autoSpaceDN w:val="0"/>
              <w:spacing w:line="241" w:lineRule="atLeast"/>
              <w:rPr>
                <w:b/>
                <w:bCs/>
                <w:color w:val="4C4C4E"/>
                <w:sz w:val="20"/>
                <w:szCs w:val="20"/>
                <w:lang w:val="fr-FR" w:eastAsia="fr-FR"/>
              </w:rPr>
            </w:pPr>
          </w:p>
          <w:p w14:paraId="4A5A19B5" w14:textId="77777777" w:rsidR="00000000" w:rsidRDefault="00000000">
            <w:pPr>
              <w:autoSpaceDE w:val="0"/>
              <w:autoSpaceDN w:val="0"/>
              <w:spacing w:line="241" w:lineRule="atLeast"/>
              <w:rPr>
                <w:b/>
                <w:bCs/>
                <w:color w:val="4C4C4E"/>
                <w:sz w:val="20"/>
                <w:szCs w:val="20"/>
                <w:lang w:val="fr-FR" w:eastAsia="fr-FR"/>
              </w:rPr>
            </w:pPr>
          </w:p>
          <w:p w14:paraId="7D991868" w14:textId="77777777" w:rsidR="00000000" w:rsidRDefault="00000000">
            <w:pPr>
              <w:autoSpaceDE w:val="0"/>
              <w:autoSpaceDN w:val="0"/>
              <w:spacing w:line="241" w:lineRule="atLeast"/>
              <w:rPr>
                <w:color w:val="4C4C4E"/>
                <w:sz w:val="20"/>
                <w:szCs w:val="20"/>
                <w:lang w:val="fr-FR" w:eastAsia="fr-FR"/>
              </w:rPr>
            </w:pPr>
          </w:p>
          <w:p w14:paraId="754A3DF2" w14:textId="77777777" w:rsidR="00000000" w:rsidRDefault="00000000">
            <w:pPr>
              <w:autoSpaceDE w:val="0"/>
              <w:autoSpaceDN w:val="0"/>
              <w:spacing w:line="241" w:lineRule="atLeast"/>
              <w:rPr>
                <w:color w:val="4C4C4E"/>
                <w:sz w:val="20"/>
                <w:szCs w:val="20"/>
                <w:lang w:val="fr-FR" w:eastAsia="fr-FR"/>
              </w:rPr>
            </w:pPr>
          </w:p>
          <w:p w14:paraId="3C3769F8" w14:textId="77777777" w:rsidR="00000000" w:rsidRDefault="00000000">
            <w:pPr>
              <w:rPr>
                <w:lang w:eastAsia="en-CA"/>
              </w:rPr>
            </w:pPr>
          </w:p>
        </w:tc>
        <w:tc>
          <w:tcPr>
            <w:tcW w:w="7324" w:type="dxa"/>
            <w:gridSpan w:val="2"/>
            <w:tcBorders>
              <w:top w:val="single" w:sz="8" w:space="0" w:color="FFFFFF"/>
              <w:left w:val="nil"/>
              <w:bottom w:val="single" w:sz="8" w:space="0" w:color="FFFFFF"/>
              <w:right w:val="single" w:sz="8" w:space="0" w:color="FFFFFF"/>
            </w:tcBorders>
            <w:tcMar>
              <w:top w:w="0" w:type="dxa"/>
              <w:left w:w="108" w:type="dxa"/>
              <w:bottom w:w="0" w:type="dxa"/>
              <w:right w:w="108" w:type="dxa"/>
            </w:tcMar>
          </w:tcPr>
          <w:p w14:paraId="34E92F14" w14:textId="77777777" w:rsidR="00000000" w:rsidRDefault="00000000">
            <w:pPr>
              <w:autoSpaceDE w:val="0"/>
              <w:autoSpaceDN w:val="0"/>
              <w:spacing w:line="241" w:lineRule="atLeast"/>
              <w:rPr>
                <w:b/>
                <w:bCs/>
                <w:color w:val="0057A5"/>
                <w:lang w:eastAsia="fr-FR"/>
              </w:rPr>
            </w:pPr>
            <w:r>
              <w:rPr>
                <w:b/>
                <w:bCs/>
                <w:color w:val="0057A5"/>
                <w:lang w:eastAsia="fr-FR"/>
              </w:rPr>
              <w:t>Marian McKillop FLMI CEBS</w:t>
            </w:r>
          </w:p>
          <w:p w14:paraId="70BFDFE4" w14:textId="77777777" w:rsidR="00000000" w:rsidRDefault="00000000">
            <w:pPr>
              <w:autoSpaceDE w:val="0"/>
              <w:autoSpaceDN w:val="0"/>
              <w:spacing w:line="241" w:lineRule="atLeast"/>
              <w:rPr>
                <w:b/>
                <w:bCs/>
                <w:color w:val="4C4C4E"/>
                <w:sz w:val="20"/>
                <w:szCs w:val="20"/>
                <w:lang w:eastAsia="fr-FR"/>
              </w:rPr>
            </w:pPr>
            <w:r>
              <w:rPr>
                <w:color w:val="4C4C4E"/>
                <w:sz w:val="20"/>
                <w:szCs w:val="20"/>
                <w:lang w:eastAsia="fr-FR"/>
              </w:rPr>
              <w:t>Client Relationship Manager - Atlantic Region</w:t>
            </w:r>
          </w:p>
          <w:p w14:paraId="0BFD0E90" w14:textId="77777777" w:rsidR="00000000" w:rsidRDefault="00000000">
            <w:pPr>
              <w:autoSpaceDE w:val="0"/>
              <w:autoSpaceDN w:val="0"/>
              <w:spacing w:line="241" w:lineRule="atLeast"/>
              <w:rPr>
                <w:color w:val="4C4C4E"/>
                <w:sz w:val="20"/>
                <w:szCs w:val="20"/>
                <w:lang w:eastAsia="fr-FR"/>
              </w:rPr>
            </w:pPr>
            <w:r>
              <w:rPr>
                <w:color w:val="4C4C4E"/>
                <w:sz w:val="20"/>
                <w:szCs w:val="20"/>
                <w:lang w:eastAsia="fr-FR"/>
              </w:rPr>
              <w:t>Group Benefits and Retirement Solutions</w:t>
            </w:r>
          </w:p>
          <w:p w14:paraId="062470F9" w14:textId="77777777" w:rsidR="00000000" w:rsidRDefault="00000000">
            <w:pPr>
              <w:autoSpaceDE w:val="0"/>
              <w:autoSpaceDN w:val="0"/>
              <w:spacing w:line="241" w:lineRule="atLeast"/>
              <w:rPr>
                <w:sz w:val="24"/>
                <w:szCs w:val="24"/>
                <w:lang w:eastAsia="fr-FR"/>
              </w:rPr>
            </w:pPr>
          </w:p>
          <w:p w14:paraId="3F0EBEF3" w14:textId="77777777" w:rsidR="00000000" w:rsidRDefault="00000000">
            <w:pPr>
              <w:autoSpaceDE w:val="0"/>
              <w:autoSpaceDN w:val="0"/>
              <w:spacing w:line="241" w:lineRule="atLeast"/>
              <w:rPr>
                <w:b/>
                <w:bCs/>
                <w:color w:val="4C4C4E"/>
                <w:sz w:val="20"/>
                <w:szCs w:val="20"/>
                <w:lang w:eastAsia="fr-FR"/>
              </w:rPr>
            </w:pPr>
            <w:r>
              <w:rPr>
                <w:b/>
                <w:bCs/>
                <w:color w:val="4C4C4E"/>
                <w:sz w:val="20"/>
                <w:szCs w:val="20"/>
                <w:lang w:eastAsia="fr-FR"/>
              </w:rPr>
              <w:t xml:space="preserve">Industrial Alliance Insurance and Financial Services </w:t>
            </w:r>
          </w:p>
          <w:p w14:paraId="33C0367C" w14:textId="77777777" w:rsidR="00000000" w:rsidRDefault="00000000">
            <w:pPr>
              <w:autoSpaceDE w:val="0"/>
              <w:autoSpaceDN w:val="0"/>
              <w:spacing w:line="241" w:lineRule="atLeast"/>
              <w:rPr>
                <w:sz w:val="24"/>
                <w:szCs w:val="24"/>
                <w:lang w:eastAsia="fr-FR"/>
              </w:rPr>
            </w:pPr>
            <w:r>
              <w:rPr>
                <w:color w:val="4C4C4E"/>
                <w:sz w:val="20"/>
                <w:szCs w:val="20"/>
                <w:lang w:eastAsia="fr-FR"/>
              </w:rPr>
              <w:t>238 Brownlow Avenue, Suite 101</w:t>
            </w:r>
          </w:p>
          <w:p w14:paraId="6FF71473" w14:textId="77777777" w:rsidR="00000000" w:rsidRDefault="00000000">
            <w:pPr>
              <w:rPr>
                <w:b/>
                <w:bCs/>
                <w:color w:val="4C4C4E"/>
                <w:sz w:val="20"/>
                <w:szCs w:val="20"/>
                <w:lang w:eastAsia="fr-FR"/>
              </w:rPr>
            </w:pPr>
            <w:r>
              <w:rPr>
                <w:color w:val="4C4C4E"/>
                <w:sz w:val="20"/>
                <w:szCs w:val="20"/>
                <w:lang w:eastAsia="fr-FR"/>
              </w:rPr>
              <w:t>Dartmouth NS B3B 1Y2</w:t>
            </w:r>
          </w:p>
          <w:p w14:paraId="74D88512" w14:textId="77777777" w:rsidR="00000000" w:rsidRDefault="00000000">
            <w:pPr>
              <w:rPr>
                <w:b/>
                <w:bCs/>
                <w:color w:val="4C4C4E"/>
                <w:sz w:val="20"/>
                <w:szCs w:val="20"/>
                <w:lang w:eastAsia="fr-FR"/>
              </w:rPr>
            </w:pPr>
          </w:p>
          <w:p w14:paraId="31760923" w14:textId="77777777" w:rsidR="00000000" w:rsidRDefault="00000000">
            <w:pPr>
              <w:rPr>
                <w:b/>
                <w:bCs/>
                <w:color w:val="4C4C4E"/>
                <w:sz w:val="20"/>
                <w:szCs w:val="20"/>
                <w:lang w:eastAsia="fr-FR"/>
              </w:rPr>
            </w:pPr>
            <w:r>
              <w:rPr>
                <w:b/>
                <w:bCs/>
                <w:color w:val="4C4C4E"/>
                <w:sz w:val="20"/>
                <w:szCs w:val="20"/>
                <w:lang w:eastAsia="fr-FR"/>
              </w:rPr>
              <w:t>Cell: 902 817-6039</w:t>
            </w:r>
          </w:p>
          <w:p w14:paraId="18495876" w14:textId="77777777" w:rsidR="00000000" w:rsidRDefault="00000000">
            <w:pPr>
              <w:rPr>
                <w:b/>
                <w:bCs/>
                <w:color w:val="4C4C4E"/>
                <w:sz w:val="20"/>
                <w:szCs w:val="20"/>
                <w:lang w:eastAsia="fr-FR"/>
              </w:rPr>
            </w:pPr>
            <w:r>
              <w:rPr>
                <w:b/>
                <w:bCs/>
                <w:color w:val="4C4C4E"/>
                <w:sz w:val="20"/>
                <w:szCs w:val="20"/>
                <w:lang w:eastAsia="fr-FR"/>
              </w:rPr>
              <w:t>Fax: 902 422-1183</w:t>
            </w:r>
          </w:p>
          <w:p w14:paraId="50D36B0D" w14:textId="77777777" w:rsidR="00000000" w:rsidRDefault="00000000">
            <w:pPr>
              <w:rPr>
                <w:lang w:eastAsia="en-CA"/>
              </w:rPr>
            </w:pPr>
            <w:hyperlink r:id="rId14" w:history="1">
              <w:r>
                <w:rPr>
                  <w:rStyle w:val="Hyperlink"/>
                  <w:b/>
                  <w:bCs/>
                  <w:color w:val="0000FF"/>
                  <w:sz w:val="20"/>
                  <w:szCs w:val="20"/>
                  <w:lang w:eastAsia="en-CA"/>
                </w:rPr>
                <w:t>marian.mckillop@ia.ca</w:t>
              </w:r>
            </w:hyperlink>
            <w:r>
              <w:rPr>
                <w:lang w:eastAsia="en-CA"/>
              </w:rPr>
              <w:t xml:space="preserve"> </w:t>
            </w:r>
          </w:p>
        </w:tc>
      </w:tr>
      <w:tr w:rsidR="00000000" w14:paraId="384380C3" w14:textId="77777777">
        <w:tc>
          <w:tcPr>
            <w:tcW w:w="9424" w:type="dxa"/>
            <w:gridSpan w:val="3"/>
            <w:tcBorders>
              <w:top w:val="nil"/>
              <w:left w:val="nil"/>
              <w:bottom w:val="nil"/>
              <w:right w:val="nil"/>
            </w:tcBorders>
            <w:tcMar>
              <w:top w:w="0" w:type="dxa"/>
              <w:left w:w="108" w:type="dxa"/>
              <w:bottom w:w="0" w:type="dxa"/>
              <w:right w:w="108" w:type="dxa"/>
            </w:tcMar>
          </w:tcPr>
          <w:p w14:paraId="0477B197" w14:textId="77777777" w:rsidR="00000000" w:rsidRDefault="00000000">
            <w:pPr>
              <w:rPr>
                <w:b/>
                <w:bCs/>
                <w:lang w:eastAsia="fr-CA"/>
              </w:rPr>
            </w:pPr>
          </w:p>
          <w:p w14:paraId="7EE49C88" w14:textId="77777777" w:rsidR="00000000" w:rsidRDefault="00000000">
            <w:pPr>
              <w:rPr>
                <w:color w:val="17365D"/>
                <w:sz w:val="16"/>
                <w:szCs w:val="16"/>
                <w:lang w:eastAsia="fr-FR"/>
              </w:rPr>
            </w:pPr>
            <w:r>
              <w:rPr>
                <w:color w:val="17365D"/>
                <w:sz w:val="16"/>
                <w:szCs w:val="16"/>
                <w:lang w:eastAsia="fr-FR"/>
              </w:rPr>
              <w:t>This message may contain privileged or confidential information. If you are not the intended recipient of this message, or if you have received it by mistake, please notify the sender immediately and delete the original without making a copy or disclosing its content.</w:t>
            </w:r>
          </w:p>
        </w:tc>
        <w:tc>
          <w:tcPr>
            <w:tcW w:w="375" w:type="dxa"/>
            <w:tcBorders>
              <w:top w:val="nil"/>
              <w:left w:val="nil"/>
              <w:bottom w:val="nil"/>
              <w:right w:val="nil"/>
            </w:tcBorders>
            <w:vAlign w:val="center"/>
            <w:hideMark/>
          </w:tcPr>
          <w:p w14:paraId="235613D4" w14:textId="77777777" w:rsidR="00000000" w:rsidRDefault="00000000">
            <w:r>
              <w:t> </w:t>
            </w:r>
          </w:p>
        </w:tc>
      </w:tr>
      <w:tr w:rsidR="00000000" w14:paraId="64DBEF1C" w14:textId="77777777">
        <w:tc>
          <w:tcPr>
            <w:tcW w:w="2235" w:type="dxa"/>
            <w:tcBorders>
              <w:top w:val="nil"/>
              <w:left w:val="nil"/>
              <w:bottom w:val="nil"/>
              <w:right w:val="nil"/>
            </w:tcBorders>
            <w:vAlign w:val="center"/>
            <w:hideMark/>
          </w:tcPr>
          <w:p w14:paraId="10AF7D07" w14:textId="77777777" w:rsidR="00000000" w:rsidRDefault="00000000"/>
        </w:tc>
        <w:tc>
          <w:tcPr>
            <w:tcW w:w="240" w:type="dxa"/>
            <w:tcBorders>
              <w:top w:val="nil"/>
              <w:left w:val="nil"/>
              <w:bottom w:val="nil"/>
              <w:right w:val="nil"/>
            </w:tcBorders>
            <w:vAlign w:val="center"/>
            <w:hideMark/>
          </w:tcPr>
          <w:p w14:paraId="375C3442" w14:textId="77777777" w:rsidR="00000000" w:rsidRDefault="00000000">
            <w:pPr>
              <w:rPr>
                <w:rFonts w:ascii="Times New Roman" w:eastAsia="Times New Roman" w:hAnsi="Times New Roman" w:cs="Times New Roman"/>
                <w:sz w:val="20"/>
                <w:szCs w:val="20"/>
              </w:rPr>
            </w:pPr>
          </w:p>
        </w:tc>
        <w:tc>
          <w:tcPr>
            <w:tcW w:w="6960" w:type="dxa"/>
            <w:tcBorders>
              <w:top w:val="nil"/>
              <w:left w:val="nil"/>
              <w:bottom w:val="nil"/>
              <w:right w:val="nil"/>
            </w:tcBorders>
            <w:vAlign w:val="center"/>
            <w:hideMark/>
          </w:tcPr>
          <w:p w14:paraId="674DA316" w14:textId="77777777" w:rsidR="00000000" w:rsidRDefault="00000000">
            <w:pPr>
              <w:rPr>
                <w:rFonts w:ascii="Times New Roman" w:eastAsia="Times New Roman" w:hAnsi="Times New Roman" w:cs="Times New Roman"/>
                <w:sz w:val="20"/>
                <w:szCs w:val="20"/>
              </w:rPr>
            </w:pPr>
          </w:p>
        </w:tc>
        <w:tc>
          <w:tcPr>
            <w:tcW w:w="375" w:type="dxa"/>
            <w:tcBorders>
              <w:top w:val="nil"/>
              <w:left w:val="nil"/>
              <w:bottom w:val="nil"/>
              <w:right w:val="nil"/>
            </w:tcBorders>
            <w:vAlign w:val="center"/>
            <w:hideMark/>
          </w:tcPr>
          <w:p w14:paraId="28767E67" w14:textId="77777777" w:rsidR="00000000" w:rsidRDefault="00000000">
            <w:pPr>
              <w:rPr>
                <w:rFonts w:ascii="Times New Roman" w:eastAsia="Times New Roman" w:hAnsi="Times New Roman" w:cs="Times New Roman"/>
                <w:sz w:val="20"/>
                <w:szCs w:val="20"/>
              </w:rPr>
            </w:pPr>
          </w:p>
        </w:tc>
      </w:tr>
    </w:tbl>
    <w:p w14:paraId="64710021" w14:textId="77777777" w:rsidR="00000000" w:rsidRDefault="00000000">
      <w:pPr>
        <w:rPr>
          <w:lang w:val="en-CA" w:eastAsia="en-CA"/>
        </w:rPr>
      </w:pPr>
      <w:r>
        <w:rPr>
          <w:lang w:val="en-CA" w:eastAsia="en-CA"/>
        </w:rPr>
        <w:t xml:space="preserve">        </w:t>
      </w:r>
    </w:p>
    <w:p w14:paraId="5E1ECE99" w14:textId="77777777" w:rsidR="00000000" w:rsidRDefault="00000000">
      <w:pPr>
        <w:rPr>
          <w:lang w:val="en-CA" w:eastAsia="en-CA"/>
        </w:rPr>
      </w:pPr>
      <w:r>
        <w:rPr>
          <w:noProof/>
          <w:lang w:val="en-CA" w:eastAsia="en-CA"/>
        </w:rPr>
        <w:drawing>
          <wp:inline distT="0" distB="0" distL="0" distR="0" wp14:anchorId="4879E349" wp14:editId="07114961">
            <wp:extent cx="1447800" cy="13716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r>
        <w:rPr>
          <w:lang w:val="en-CA" w:eastAsia="en-CA"/>
        </w:rPr>
        <w:t>                        </w:t>
      </w:r>
      <w:r>
        <w:rPr>
          <w:noProof/>
          <w:lang w:val="en-CA" w:eastAsia="en-CA"/>
        </w:rPr>
        <w:drawing>
          <wp:inline distT="0" distB="0" distL="0" distR="0" wp14:anchorId="3D38CA42" wp14:editId="46B40C69">
            <wp:extent cx="1524000" cy="13716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inline>
        </w:drawing>
      </w:r>
      <w:r>
        <w:rPr>
          <w:lang w:val="en-CA" w:eastAsia="en-CA"/>
        </w:rPr>
        <w:t>           </w:t>
      </w:r>
    </w:p>
    <w:p w14:paraId="5EE8B0E7" w14:textId="77777777" w:rsidR="00CB1350" w:rsidRDefault="00CB1350">
      <w:pPr>
        <w:rPr>
          <w:lang w:val="en-CA"/>
        </w:rPr>
      </w:pPr>
    </w:p>
    <w:sectPr w:rsidR="00CB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37834"/>
    <w:rsid w:val="008A5C23"/>
    <w:rsid w:val="00B37834"/>
    <w:rsid w:val="00CB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0B34B"/>
  <w15:chartTrackingRefBased/>
  <w15:docId w15:val="{71CA6B93-43AC-4935-B90B-C3318207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character" w:customStyle="1" w:styleId="emailstyle18">
    <w:name w:val="emailstyle18"/>
    <w:basedOn w:val="DefaultParagraphFont"/>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iacanada" TargetMode="External"/><Relationship Id="rId13" Type="http://schemas.openxmlformats.org/officeDocument/2006/relationships/hyperlink" Target="http://ia.ca/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CF070190"/><Relationship Id="rId12" Type="http://schemas.openxmlformats.org/officeDocument/2006/relationships/image" Target="media/image5.CF070190"/><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D2DAA200"/><Relationship Id="rId1" Type="http://schemas.openxmlformats.org/officeDocument/2006/relationships/styles" Target="styles.xml"/><Relationship Id="rId6" Type="http://schemas.openxmlformats.org/officeDocument/2006/relationships/hyperlink" Target="https://www.facebook.com/iacanada?_rdr" TargetMode="External"/><Relationship Id="rId11" Type="http://schemas.openxmlformats.org/officeDocument/2006/relationships/image" Target="media/image4.CF070190"/><Relationship Id="rId5" Type="http://schemas.openxmlformats.org/officeDocument/2006/relationships/image" Target="media/image1.CF070190"/><Relationship Id="rId15" Type="http://schemas.openxmlformats.org/officeDocument/2006/relationships/image" Target="media/image6.D2DAA200"/><Relationship Id="rId10" Type="http://schemas.openxmlformats.org/officeDocument/2006/relationships/hyperlink" Target="https://www.linkedin.com/company/industrielle_alliance" TargetMode="External"/><Relationship Id="rId4" Type="http://schemas.openxmlformats.org/officeDocument/2006/relationships/hyperlink" Target="https://youtu.be/rrj2xDP98xw" TargetMode="External"/><Relationship Id="rId9" Type="http://schemas.openxmlformats.org/officeDocument/2006/relationships/image" Target="media/image3.CF070190"/><Relationship Id="rId14" Type="http://schemas.openxmlformats.org/officeDocument/2006/relationships/hyperlink" Target="mailto:marian.mckillop@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 Lannon</cp:lastModifiedBy>
  <cp:revision>2</cp:revision>
  <dcterms:created xsi:type="dcterms:W3CDTF">2023-08-30T18:17:00Z</dcterms:created>
  <dcterms:modified xsi:type="dcterms:W3CDTF">2023-08-30T18:17:00Z</dcterms:modified>
</cp:coreProperties>
</file>